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E5086" w14:textId="3078CC9C" w:rsidR="00FD14E9" w:rsidRPr="00FD14E9" w:rsidRDefault="00FD14E9" w:rsidP="00FD14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ELETRÔNICA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AD7604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90003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/2024</w:t>
      </w:r>
    </w:p>
    <w:p w14:paraId="5A23E006" w14:textId="696F780C" w:rsidR="00FD14E9" w:rsidRPr="00FD14E9" w:rsidRDefault="00FD14E9" w:rsidP="00FD14E9">
      <w:pPr>
        <w:spacing w:after="0" w:line="240" w:lineRule="auto"/>
        <w:ind w:right="-15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(Processo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Administrativo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n.°</w:t>
      </w:r>
      <w:proofErr w:type="spellEnd"/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08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532</w:t>
      </w:r>
      <w:r w:rsidRPr="00FD14E9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.0000</w:t>
      </w:r>
      <w:r w:rsidR="007F3DD6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6</w:t>
      </w:r>
      <w:r w:rsidRPr="00FD14E9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2/2024-</w:t>
      </w:r>
      <w:r w:rsidR="007F3DD6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09</w:t>
      </w:r>
      <w:r w:rsidRPr="00FD14E9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)</w:t>
      </w:r>
    </w:p>
    <w:p w14:paraId="2D561AA1" w14:textId="6A5037E3" w:rsidR="00FD14E9" w:rsidRPr="00FD14E9" w:rsidRDefault="007351DF" w:rsidP="00FD14E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5B4851CD" w14:textId="53F6E173" w:rsidR="00FD14E9" w:rsidRPr="00FD14E9" w:rsidRDefault="00FD14E9" w:rsidP="00FD14E9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Torna-se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Superintendência</w:t>
      </w:r>
      <w:r w:rsidR="007351DF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Regional</w:t>
      </w:r>
      <w:r w:rsidR="007351DF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Polícia</w:t>
      </w:r>
      <w:r w:rsidR="007351DF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Federal</w:t>
      </w:r>
      <w:r w:rsidR="007351DF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Mato</w:t>
      </w:r>
      <w:r w:rsidR="007351DF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Grosso,</w:t>
      </w:r>
      <w:r w:rsidR="007351DF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meio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Comissão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Permanente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Licitação</w:t>
      </w:r>
      <w:r w:rsidRPr="00FD14E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,</w:t>
      </w:r>
      <w:r w:rsidR="007351DF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realizará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critério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julgamento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menor</w:t>
      </w:r>
      <w:r w:rsidR="007351DF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preço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,</w:t>
      </w:r>
      <w:r w:rsidR="007351DF">
        <w:rPr>
          <w:rFonts w:ascii="Calibri" w:eastAsia="Times New Roman" w:hAnsi="Calibri" w:cs="Calibri"/>
          <w:b/>
          <w:bCs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hipótese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art.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75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inciso</w:t>
      </w:r>
      <w:r w:rsidR="007351DF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II</w:t>
      </w:r>
      <w:r w:rsidRPr="00FD14E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,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14.133,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1º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abril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2021,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Instrução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Normativa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SEGES/ME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67/2021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demais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legislação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aplicável.</w:t>
      </w:r>
    </w:p>
    <w:p w14:paraId="007711F9" w14:textId="7F5CC3F3" w:rsidR="00FD14E9" w:rsidRPr="00FD14E9" w:rsidRDefault="007351DF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72F93188" w14:textId="26B473A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sessão: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="00693695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>1</w:t>
      </w:r>
      <w:r w:rsidR="008E5BF8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>5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>.</w:t>
      </w:r>
      <w:r w:rsidR="007F3DD6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>fevereiro</w:t>
      </w:r>
      <w:proofErr w:type="gramEnd"/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>.2024</w:t>
      </w:r>
    </w:p>
    <w:p w14:paraId="5CEE1176" w14:textId="2E311837" w:rsidR="00FD14E9" w:rsidRPr="00FD14E9" w:rsidRDefault="00FD14E9" w:rsidP="00FD14E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Link: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B0F0"/>
          <w:kern w:val="0"/>
          <w:sz w:val="24"/>
          <w:szCs w:val="24"/>
          <w:u w:val="single"/>
          <w:lang w:eastAsia="pt-BR"/>
          <w14:ligatures w14:val="none"/>
        </w:rPr>
        <w:t>https://www.gov.br/pf/pt-br/assuntos/licitacoes/2024/mato-grosso/cotacoes-eletronicas</w:t>
      </w:r>
    </w:p>
    <w:p w14:paraId="3420C631" w14:textId="33E85BC7" w:rsidR="00FD14E9" w:rsidRPr="00FD14E9" w:rsidRDefault="00FD14E9" w:rsidP="00FD14E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Lances: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shd w:val="clear" w:color="auto" w:fill="FFFF00"/>
          <w:lang w:eastAsia="pt-BR"/>
          <w14:ligatures w14:val="none"/>
        </w:rPr>
        <w:t>8:00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shd w:val="clear" w:color="auto" w:fill="FFFF0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shd w:val="clear" w:color="auto" w:fill="FFFF00"/>
          <w:lang w:eastAsia="pt-BR"/>
          <w14:ligatures w14:val="none"/>
        </w:rPr>
        <w:t>às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shd w:val="clear" w:color="auto" w:fill="FFFF0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shd w:val="clear" w:color="auto" w:fill="FFFF00"/>
          <w:lang w:eastAsia="pt-BR"/>
          <w14:ligatures w14:val="none"/>
        </w:rPr>
        <w:t>17:00</w:t>
      </w:r>
    </w:p>
    <w:p w14:paraId="686015F9" w14:textId="00D8779B" w:rsidR="00FD14E9" w:rsidRPr="00FD14E9" w:rsidRDefault="007351DF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4937D8EF" w14:textId="17D7F6CA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DIRETA</w:t>
      </w:r>
    </w:p>
    <w:p w14:paraId="7E8A1CBE" w14:textId="53B9CABB" w:rsidR="00FD14E9" w:rsidRPr="00585D8E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585D8E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1.1.</w:t>
      </w:r>
      <w:r w:rsidR="007351DF" w:rsidRPr="00585D8E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presente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é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7351DF" w:rsidRPr="00585D8E">
        <w:rPr>
          <w:color w:val="000000"/>
          <w:sz w:val="24"/>
          <w:szCs w:val="24"/>
        </w:rPr>
        <w:t xml:space="preserve">para fornecimento </w:t>
      </w:r>
      <w:r w:rsidR="007351DF" w:rsidRPr="00585D8E">
        <w:rPr>
          <w:rStyle w:val="Forte"/>
          <w:color w:val="FF0000"/>
          <w:sz w:val="24"/>
          <w:szCs w:val="24"/>
        </w:rPr>
        <w:t>PARCELADO</w:t>
      </w:r>
      <w:r w:rsidR="007351DF" w:rsidRPr="00585D8E">
        <w:rPr>
          <w:color w:val="000000"/>
          <w:sz w:val="24"/>
          <w:szCs w:val="24"/>
        </w:rPr>
        <w:t xml:space="preserve"> de</w:t>
      </w:r>
      <w:r w:rsidR="007351DF" w:rsidRPr="00585D8E">
        <w:rPr>
          <w:rStyle w:val="Forte"/>
          <w:color w:val="FF0000"/>
          <w:sz w:val="24"/>
          <w:szCs w:val="24"/>
        </w:rPr>
        <w:t xml:space="preserve"> 960 (novecentos e sessenta)</w:t>
      </w:r>
      <w:r w:rsidR="007351DF" w:rsidRPr="00585D8E">
        <w:rPr>
          <w:color w:val="000000"/>
          <w:sz w:val="24"/>
          <w:szCs w:val="24"/>
        </w:rPr>
        <w:t xml:space="preserve"> Kg de ração canina, para atendimento ao Canil da DPF/ROO/MT, composto por 02 (dois) cães detectores de entorpecentes, para uso durante </w:t>
      </w:r>
      <w:r w:rsidR="007351DF" w:rsidRPr="00585D8E">
        <w:rPr>
          <w:rStyle w:val="Forte"/>
          <w:color w:val="FF0000"/>
          <w:sz w:val="24"/>
          <w:szCs w:val="24"/>
        </w:rPr>
        <w:t>24 meses,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conforme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condições,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quantidades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exigências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estabelecidas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seus</w:t>
      </w:r>
      <w:r w:rsidR="007351DF"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anexos.</w:t>
      </w:r>
    </w:p>
    <w:p w14:paraId="137D8FA6" w14:textId="35EC1E68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  <w:t>item</w:t>
      </w:r>
      <w:r w:rsidR="007351DF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  <w:t>único</w:t>
      </w:r>
      <w:r w:rsidRPr="00FD14E9">
        <w:rPr>
          <w:rFonts w:ascii="Arial" w:eastAsia="Times New Roman" w:hAnsi="Arial" w:cs="Arial"/>
          <w:b/>
          <w:bCs/>
          <w:i/>
          <w:iCs/>
          <w:color w:val="FF0000"/>
          <w:kern w:val="0"/>
          <w:sz w:val="24"/>
          <w:szCs w:val="24"/>
          <w:lang w:eastAsia="pt-BR"/>
          <w14:ligatures w14:val="none"/>
        </w:rPr>
        <w:t>,</w:t>
      </w:r>
      <w:r w:rsidR="007351DF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conforme</w:t>
      </w:r>
      <w:r w:rsidR="007351DF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  <w:t>tabela</w:t>
      </w:r>
      <w:r w:rsidR="007351DF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  <w:t>abaixo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.</w:t>
      </w:r>
    </w:p>
    <w:p w14:paraId="1D99C06B" w14:textId="30057077" w:rsidR="00A672F9" w:rsidRPr="00FD14E9" w:rsidRDefault="00A672F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3244"/>
        <w:gridCol w:w="1435"/>
        <w:gridCol w:w="1098"/>
        <w:gridCol w:w="837"/>
        <w:gridCol w:w="1048"/>
        <w:gridCol w:w="1096"/>
      </w:tblGrid>
      <w:tr w:rsidR="00A672F9" w:rsidRPr="00585D8E" w14:paraId="7CA74EDF" w14:textId="082A4473" w:rsidTr="00585D8E">
        <w:tc>
          <w:tcPr>
            <w:tcW w:w="0" w:type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F88D8C6" w14:textId="77777777" w:rsidR="00A672F9" w:rsidRPr="00585D8E" w:rsidRDefault="00A672F9" w:rsidP="00A67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ITEM</w:t>
            </w:r>
          </w:p>
        </w:tc>
        <w:tc>
          <w:tcPr>
            <w:tcW w:w="324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FF0F539" w14:textId="77777777" w:rsidR="00A672F9" w:rsidRPr="00585D8E" w:rsidRDefault="00A672F9" w:rsidP="00A67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ESPECIFICAÇÃO</w:t>
            </w:r>
          </w:p>
        </w:tc>
        <w:tc>
          <w:tcPr>
            <w:tcW w:w="1435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BED290B" w14:textId="77777777" w:rsidR="00A672F9" w:rsidRPr="00585D8E" w:rsidRDefault="00A672F9" w:rsidP="00A67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UNIDADE</w:t>
            </w:r>
          </w:p>
          <w:p w14:paraId="59FC8EFB" w14:textId="353AC06E" w:rsidR="00A672F9" w:rsidRPr="00585D8E" w:rsidRDefault="00A672F9" w:rsidP="00A67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</w:t>
            </w:r>
            <w:r w:rsidR="007351DF"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</w:t>
            </w:r>
            <w:r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MEDIDA</w:t>
            </w:r>
          </w:p>
        </w:tc>
        <w:tc>
          <w:tcPr>
            <w:tcW w:w="0" w:type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9061604" w14:textId="77777777" w:rsidR="00A672F9" w:rsidRPr="00585D8E" w:rsidRDefault="00A672F9" w:rsidP="00A67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QUANT.</w:t>
            </w:r>
          </w:p>
          <w:p w14:paraId="2ADBEC37" w14:textId="37E826F3" w:rsidR="00A672F9" w:rsidRPr="00585D8E" w:rsidRDefault="00A672F9" w:rsidP="00A67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MENSAL</w:t>
            </w:r>
            <w:r w:rsidR="007351DF"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</w:t>
            </w:r>
          </w:p>
          <w:p w14:paraId="09876156" w14:textId="02E874F7" w:rsidR="00A672F9" w:rsidRPr="00585D8E" w:rsidRDefault="00A672F9" w:rsidP="00A67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ESTIMADA</w:t>
            </w:r>
          </w:p>
        </w:tc>
        <w:tc>
          <w:tcPr>
            <w:tcW w:w="0" w:type="auto"/>
            <w:vAlign w:val="center"/>
          </w:tcPr>
          <w:p w14:paraId="04E9685B" w14:textId="6FDE7502" w:rsidR="00A672F9" w:rsidRPr="00585D8E" w:rsidRDefault="00A672F9" w:rsidP="00A67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24</w:t>
            </w:r>
            <w:r w:rsidR="007351DF"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</w:t>
            </w:r>
            <w:r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MESES</w:t>
            </w:r>
          </w:p>
        </w:tc>
        <w:tc>
          <w:tcPr>
            <w:tcW w:w="0" w:type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9ADD777" w14:textId="020E97FD" w:rsidR="00A672F9" w:rsidRPr="00585D8E" w:rsidRDefault="00A672F9" w:rsidP="00A67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</w:t>
            </w:r>
          </w:p>
          <w:p w14:paraId="0D2FC50D" w14:textId="77777777" w:rsidR="00A672F9" w:rsidRPr="00585D8E" w:rsidRDefault="00A672F9" w:rsidP="00A67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UNITÁRIO</w:t>
            </w:r>
          </w:p>
        </w:tc>
        <w:tc>
          <w:tcPr>
            <w:tcW w:w="0" w:type="auto"/>
            <w:vAlign w:val="center"/>
          </w:tcPr>
          <w:p w14:paraId="15352B47" w14:textId="77777777" w:rsidR="00A672F9" w:rsidRPr="00585D8E" w:rsidRDefault="00A672F9" w:rsidP="00A67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</w:t>
            </w:r>
          </w:p>
          <w:p w14:paraId="5890A9FF" w14:textId="1A51D266" w:rsidR="00A672F9" w:rsidRPr="00585D8E" w:rsidRDefault="00A672F9" w:rsidP="00A67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TOTAL</w:t>
            </w:r>
          </w:p>
        </w:tc>
      </w:tr>
      <w:tr w:rsidR="00A672F9" w:rsidRPr="00585D8E" w14:paraId="5DEB8FB4" w14:textId="40D67AA5" w:rsidTr="00585D8E">
        <w:tc>
          <w:tcPr>
            <w:tcW w:w="0" w:type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989C855" w14:textId="77777777" w:rsidR="00A672F9" w:rsidRPr="00585D8E" w:rsidRDefault="00A672F9" w:rsidP="00FD14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324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5D74083" w14:textId="3365E8AB" w:rsidR="00A672F9" w:rsidRPr="00585D8E" w:rsidRDefault="00A672F9" w:rsidP="00A672F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Alimento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completo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para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cães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(ração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animal)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da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categoria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“</w:t>
            </w:r>
            <w:proofErr w:type="spellStart"/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Super</w:t>
            </w:r>
            <w:proofErr w:type="spellEnd"/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Premium”,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para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cães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adultos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de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grande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porte,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com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peso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entre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kg,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com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mais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de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(quinze)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meses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de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idade,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de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alta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digestibilidade</w:t>
            </w:r>
            <w:proofErr w:type="spellEnd"/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enriquecida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com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glucosamina</w:t>
            </w:r>
            <w:proofErr w:type="spellEnd"/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taurina,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de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acordo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com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as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seguintes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especificações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mínimas: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Proteína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Bruta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(mín.)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26,00%;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Extrato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Etéreo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(mín.)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14,00%;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Matéria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Mineral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(máx.)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8,60%;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Matéria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Fibrosa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(máx.)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3,30%;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Umidade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(máx.)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11,00%;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Fósforo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(mín.)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0,60%;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Cálcio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(mín.)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0,70%;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Cálcio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(máx.)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,40%;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Sódio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(mín.)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0,30%;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Potássio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(mín.)</w:t>
            </w:r>
            <w:r w:rsidR="007351DF" w:rsidRPr="00585D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85D8E">
              <w:rPr>
                <w:rFonts w:ascii="Calibri" w:hAnsi="Calibri" w:cs="Calibri"/>
                <w:color w:val="000000"/>
                <w:sz w:val="20"/>
                <w:szCs w:val="20"/>
              </w:rPr>
              <w:t>0,48%.</w:t>
            </w:r>
          </w:p>
        </w:tc>
        <w:tc>
          <w:tcPr>
            <w:tcW w:w="1435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DD2E769" w14:textId="1743531C" w:rsidR="00A672F9" w:rsidRPr="00585D8E" w:rsidRDefault="00A672F9" w:rsidP="00FD14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KG</w:t>
            </w:r>
          </w:p>
        </w:tc>
        <w:tc>
          <w:tcPr>
            <w:tcW w:w="0" w:type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F0490DD" w14:textId="5D6CCC0A" w:rsidR="00A672F9" w:rsidRPr="00585D8E" w:rsidRDefault="00A672F9" w:rsidP="00FD14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40</w:t>
            </w:r>
            <w:r w:rsidR="007351DF" w:rsidRPr="00585D8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</w:t>
            </w:r>
            <w:r w:rsidRPr="00585D8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KG</w:t>
            </w:r>
          </w:p>
        </w:tc>
        <w:tc>
          <w:tcPr>
            <w:tcW w:w="0" w:type="auto"/>
            <w:vAlign w:val="center"/>
          </w:tcPr>
          <w:p w14:paraId="2105BC00" w14:textId="71823567" w:rsidR="00A672F9" w:rsidRPr="00585D8E" w:rsidRDefault="00A672F9" w:rsidP="00A67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960</w:t>
            </w:r>
            <w:r w:rsidR="007351DF" w:rsidRPr="00585D8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</w:t>
            </w:r>
            <w:r w:rsidRPr="00585D8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KG</w:t>
            </w:r>
          </w:p>
        </w:tc>
        <w:tc>
          <w:tcPr>
            <w:tcW w:w="0" w:type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D3679CD" w14:textId="09551B52" w:rsidR="00A672F9" w:rsidRPr="00585D8E" w:rsidRDefault="00A672F9" w:rsidP="00FD14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22,90</w:t>
            </w:r>
          </w:p>
        </w:tc>
        <w:tc>
          <w:tcPr>
            <w:tcW w:w="0" w:type="auto"/>
            <w:vAlign w:val="center"/>
          </w:tcPr>
          <w:p w14:paraId="7F2BF211" w14:textId="76332DD2" w:rsidR="00A672F9" w:rsidRPr="00585D8E" w:rsidRDefault="00A672F9" w:rsidP="00A67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85D8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</w:t>
            </w:r>
            <w:r w:rsidR="007351DF" w:rsidRPr="00585D8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</w:t>
            </w:r>
            <w:r w:rsidRPr="00585D8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21.984,00</w:t>
            </w:r>
          </w:p>
        </w:tc>
      </w:tr>
    </w:tbl>
    <w:p w14:paraId="0CB9808B" w14:textId="39D86AA0" w:rsidR="00FD14E9" w:rsidRPr="00FD14E9" w:rsidRDefault="007351DF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438516F5" w14:textId="20979ED7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1.2.1.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item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lote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faculta-se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interesse.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Entretanto,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optando-se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lote,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enviar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itens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compõem.</w:t>
      </w:r>
    </w:p>
    <w:p w14:paraId="63CE9343" w14:textId="52135598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1.3.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critério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julgamento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adotado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menor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preço,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observadas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exigências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contidas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especificações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objeto.</w:t>
      </w:r>
    </w:p>
    <w:p w14:paraId="06F45E84" w14:textId="65E607D0" w:rsidR="00FD14E9" w:rsidRPr="00FD14E9" w:rsidRDefault="007351DF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67DA9404" w14:textId="5D0BCBC9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PARTICIPAÇÃO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ELETRÔNICA.</w:t>
      </w:r>
    </w:p>
    <w:p w14:paraId="476D41C8" w14:textId="5BB85627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participação</w:t>
      </w:r>
      <w:r w:rsidR="00585D8E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presente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mediante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integrante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Governo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–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Comprasnet</w:t>
      </w:r>
      <w:proofErr w:type="spell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4.0,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disponível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endereço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eletrônico.</w:t>
      </w:r>
    </w:p>
    <w:p w14:paraId="458177D0" w14:textId="1B1B60C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Manual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disponível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Portal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Governo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acesso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operacionalização.</w:t>
      </w:r>
    </w:p>
    <w:p w14:paraId="12DE3E75" w14:textId="3EAB8295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2.1.2.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é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responsável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transação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efetuada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representante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cabendo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órgão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promotor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responsabilidade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eventuais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decorrentes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indevido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senha,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ainda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terceiros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autorizados.</w:t>
      </w:r>
    </w:p>
    <w:p w14:paraId="730EC473" w14:textId="42836BCA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fornecedores:</w:t>
      </w:r>
    </w:p>
    <w:p w14:paraId="18936797" w14:textId="526385D1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atendam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seu(s)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anexo(s);</w:t>
      </w:r>
    </w:p>
    <w:p w14:paraId="69F9D06A" w14:textId="6EA1CEA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estrangeiros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tenham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representação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legal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Brasil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expressos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receber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responder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judicialmente;</w:t>
      </w:r>
    </w:p>
    <w:p w14:paraId="2FBD5411" w14:textId="610263D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2.2.3.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enquadrem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seguintes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vedações:</w:t>
      </w:r>
    </w:p>
    <w:p w14:paraId="0D4ED6B0" w14:textId="72853059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anteprojeto,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projeto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básico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projeto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executivo,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física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versar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obra,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serviços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bens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relacionados;</w:t>
      </w:r>
    </w:p>
    <w:p w14:paraId="248ECE7E" w14:textId="161BDDFC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B)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isoladamente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consórcio,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responsável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elaboração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projeto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básico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projeto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executivo,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projeto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seja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dirigente,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gerente,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controlador,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acionista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detentor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5%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(cinco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cento)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capital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direito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voto,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responsável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técnico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subcontratado,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versar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obra,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serviços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bens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necessários;</w:t>
      </w:r>
    </w:p>
    <w:p w14:paraId="1594863A" w14:textId="658B4A35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física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encontre,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tempo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impossibilitada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decorrência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lhe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foi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imposta;</w:t>
      </w:r>
    </w:p>
    <w:p w14:paraId="7DEE195C" w14:textId="51929FD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aquele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mantenha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vínculo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natureza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técnica,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comercial,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econômica,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financeira,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trabalhista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civil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dirigente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órgão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agente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desempenhe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função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licitação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fiscalização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gestão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deles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seja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cônjuge,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companheiro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linha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reta,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colateral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afinidade,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até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terceiro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grau;</w:t>
      </w:r>
    </w:p>
    <w:p w14:paraId="324FEAC4" w14:textId="7928CE3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controladoras,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controladas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coligadas,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hyperlink r:id="rId4" w:tgtFrame="_blank" w:history="1">
        <w:r w:rsidRPr="00FD14E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Lei</w:t>
        </w:r>
        <w:r w:rsidR="007351DF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nº</w:t>
        </w:r>
        <w:r w:rsidR="007351DF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6.404,</w:t>
        </w:r>
        <w:r w:rsidR="007351DF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de</w:t>
        </w:r>
        <w:r w:rsidR="007351DF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15</w:t>
        </w:r>
        <w:r w:rsidR="007351DF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de</w:t>
        </w:r>
        <w:r w:rsidR="007351DF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dezembro</w:t>
        </w:r>
        <w:r w:rsidR="007351DF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de</w:t>
        </w:r>
        <w:r w:rsidR="007351DF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1976</w:t>
        </w:r>
      </w:hyperlink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concorrendo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si;</w:t>
      </w:r>
    </w:p>
    <w:p w14:paraId="3EEE1CEC" w14:textId="1DC038C2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F)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física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5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(cinco)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anteriores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divulgação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tenha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condenada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judicialmente,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trânsito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julgado,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exploração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infantil,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submissão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trabalhadores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análogas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escravo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adolescentes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vedados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legislação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trabalhista</w:t>
      </w:r>
    </w:p>
    <w:p w14:paraId="4FD85AA8" w14:textId="00919AA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2.2.3.1.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Equiparam-se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projeto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integrantes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mesmo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grupo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econômico;</w:t>
      </w:r>
    </w:p>
    <w:p w14:paraId="3A1ABF77" w14:textId="15805575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2.2.3.2.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</w:t>
      </w:r>
      <w:proofErr w:type="gramEnd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disposto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alínea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“c”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também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substituição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física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intuito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burlar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efetividade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aplicada,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inclusive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controladora,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controlada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coligada,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devidamente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comprovado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ilícito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utilização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fraudulenta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personalidade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fornecedor;</w:t>
      </w:r>
    </w:p>
    <w:p w14:paraId="2F30094E" w14:textId="2A477359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2.2.4.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organizações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Sociedade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Civil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Interesse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OSCIP,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atuando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(Acórdão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746/2014-TCU-Plenário);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</w:p>
    <w:p w14:paraId="60E1BD57" w14:textId="0D2F454A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bookmarkStart w:id="0" w:name="_Hlk519667815"/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2.2.5.</w:t>
      </w:r>
      <w:bookmarkEnd w:id="0"/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sociedades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cooperativas.</w:t>
      </w:r>
    </w:p>
    <w:p w14:paraId="4F29A1CC" w14:textId="3436BC33" w:rsidR="00FD14E9" w:rsidRPr="00FD14E9" w:rsidRDefault="007351DF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0B30FE3B" w14:textId="7FB1592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INGRESSO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ELETRÔNICA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CADASTRAMENTO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INICIAL</w:t>
      </w:r>
    </w:p>
    <w:p w14:paraId="7195DF38" w14:textId="46DEA2DF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ingresso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disputa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inicial,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item.</w:t>
      </w:r>
    </w:p>
    <w:p w14:paraId="1DA1539E" w14:textId="5667CCE9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interessado,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após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divulgação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encaminhará,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exclusivamente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descrição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ofertado,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marca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produto,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até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abertura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procedimento.</w:t>
      </w:r>
    </w:p>
    <w:p w14:paraId="51119A02" w14:textId="33B81DDB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3.2.1.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também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declaração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compreende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integralidade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custos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direitos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trabalhistas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assegurados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Constituição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trabalhistas,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normas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infralegais</w:t>
      </w:r>
      <w:proofErr w:type="spellEnd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convenções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coletivas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ajustamento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conduta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vigentes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entrega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propostas.</w:t>
      </w:r>
    </w:p>
    <w:p w14:paraId="2B4E0EC0" w14:textId="3096FA9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3.3.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especificações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contidas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especial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vinculam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Contratada.</w:t>
      </w:r>
    </w:p>
    <w:p w14:paraId="6C98B549" w14:textId="28210F9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3.4.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inclusos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custos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operacionais,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encargos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previdenciários,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trabalhistas,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tributários,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comerciais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quaisquer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incidam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indiretamente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prestação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serviços;</w:t>
      </w:r>
    </w:p>
    <w:p w14:paraId="396FB40C" w14:textId="03B34AF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3.4.1.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ofertados,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inicial,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etapa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exclusiva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responsabilidade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lhe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assistindo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direito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pleitear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alteração,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alegação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erro,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omissão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pretexto.</w:t>
      </w:r>
    </w:p>
    <w:p w14:paraId="0D5AF406" w14:textId="37C356DB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3.5.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regime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tributário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implicar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recolhimento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tributos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percentuais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variáveis,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adequada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corresponde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média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efetivos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recolhimentos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últimos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doze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meses.</w:t>
      </w:r>
    </w:p>
    <w:p w14:paraId="75503E7A" w14:textId="3A935A17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3.6.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Independentemente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percentual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tributo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inserido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planilha,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pagamento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retidos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percentuais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legislação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vigente.</w:t>
      </w:r>
    </w:p>
    <w:p w14:paraId="2279C648" w14:textId="6FF5C41C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3.7.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implica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obrigatoriedade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cumprimento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disposições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nelas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contidas,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conformidade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dispõe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Termo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Referência,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Projeto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Básico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Projeto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Executivo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assumindo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proponente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compromisso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executar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serviços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materiais,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ferramentas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utensílios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necessários,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quantidades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qualidades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adequadas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perfeita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execução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contratual,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promovendo,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requerido,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substituição.</w:t>
      </w:r>
    </w:p>
    <w:p w14:paraId="34B88AA7" w14:textId="63C5EAC2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3.8.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vez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enviada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retirá-la,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substituí-la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modificá-la;</w:t>
      </w:r>
    </w:p>
    <w:p w14:paraId="26AC01FC" w14:textId="0896AC59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Nota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Explicativa: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previsão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acima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decorre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funcionamento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sistema.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sistema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for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modificado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alterar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essa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possibilidade,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disposição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supracitada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deve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ajustada.</w:t>
      </w:r>
    </w:p>
    <w:p w14:paraId="2FD4E7CE" w14:textId="77E3CC41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3.9.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inicial,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deverá,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também,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assinalar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“sim”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“não”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campo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próprio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seguintes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declarações:</w:t>
      </w:r>
    </w:p>
    <w:p w14:paraId="15CD99B6" w14:textId="0A03BDDC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3.9.1.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inexistem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impeditivos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certame,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obrigatoriedade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declarar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ocorrências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posteriores;</w:t>
      </w:r>
    </w:p>
    <w:p w14:paraId="0B8EA6B9" w14:textId="520023D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3.9.2.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cumpre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requisitos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artigo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3°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Complementar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123,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2006,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usufruir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tratamento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favorecido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arts</w:t>
      </w:r>
      <w:proofErr w:type="spellEnd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42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49.</w:t>
      </w:r>
    </w:p>
    <w:p w14:paraId="7A9EC53F" w14:textId="73BD90A9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Nota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Explicativa: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assinalação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campo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“não”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apenas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produzirá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efeito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ter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direito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tratamento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favorecido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previsto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Lei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Complementar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123,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2006,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mesmo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microempresa,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empresa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pequeno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porte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sociedade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cooperativa.</w:t>
      </w:r>
    </w:p>
    <w:p w14:paraId="3801EB03" w14:textId="2005AFA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3.9.3.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concorda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contidas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anexos;</w:t>
      </w:r>
    </w:p>
    <w:p w14:paraId="3CA1A5EF" w14:textId="428C561D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3.9.4.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assume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responsabilidade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transações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efetuadas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assumindo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firmes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verdadeiras;</w:t>
      </w:r>
    </w:p>
    <w:p w14:paraId="2067A57B" w14:textId="5054CA4C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3.9.5.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cumpre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exigências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reserva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cargos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deficiência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reabilitado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Previdência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Social,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art.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93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8.213/91.</w:t>
      </w:r>
    </w:p>
    <w:p w14:paraId="4344297D" w14:textId="00ECC937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3.9.6.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emprega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18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noturno,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perigoso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insalubre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emprega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16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salvo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menor,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14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aprendiz,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artigo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7°,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XXXIII,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Constituição;</w:t>
      </w:r>
    </w:p>
    <w:p w14:paraId="28F87707" w14:textId="5C409DB8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3.10.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Fica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facultado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fornecedor,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cadastrar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inicial,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parametrização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valor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final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mínimo,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registro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seu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lance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final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aceitável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(menor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preço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maior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desconto,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conforme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caso).</w:t>
      </w:r>
    </w:p>
    <w:p w14:paraId="5EFB207B" w14:textId="2E7DB2A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3.10.1.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Feita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essa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opção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lances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serão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enviados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automaticamente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sistema,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respeitados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limites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cadastrados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intervalo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mínimo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entre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lances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previsto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neste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aviso.</w:t>
      </w:r>
    </w:p>
    <w:p w14:paraId="6319FFD3" w14:textId="3E9BC84A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3.10.1.1.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Sem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prejuízo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disposto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acima,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lances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poderão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enviados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manualmente,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forma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seção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respectiva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deste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Direta;</w:t>
      </w:r>
    </w:p>
    <w:p w14:paraId="77782621" w14:textId="4F17E3B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3.10.2.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valor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final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mínimo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poderá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alterado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durante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fase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disputa,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desde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assuma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valor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superior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lance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já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registrado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ele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sistema.</w:t>
      </w:r>
    </w:p>
    <w:p w14:paraId="575BB014" w14:textId="5098941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3.10.3.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valor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mínimo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parametrizado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possui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caráter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sigiloso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demais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participantes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certame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órgão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entidade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contratante.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Apenas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lances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efetivamente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enviados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poderão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conhecidos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fornecedores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forma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seção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seguinte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deste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Aviso.</w:t>
      </w:r>
    </w:p>
    <w:p w14:paraId="737EE546" w14:textId="5142B29C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Nota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Explicativa: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Atentar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sistema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já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possui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essa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funcionalidade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instalada.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Caso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tenha,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suprimir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subitem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3.10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itens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subordinados.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já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houver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funcionalidade,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previsão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deve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mantida.</w:t>
      </w:r>
    </w:p>
    <w:p w14:paraId="662EB1DA" w14:textId="332B6A8D" w:rsidR="00FD14E9" w:rsidRPr="00FD14E9" w:rsidRDefault="007351DF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2869E91D" w14:textId="59314E1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FASE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LANCES</w:t>
      </w:r>
    </w:p>
    <w:p w14:paraId="0220CD1D" w14:textId="6A707F1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8:00h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sessão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automaticamente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aberta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envio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sucessivos,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exclusivamente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encerrado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finalização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também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aviso.</w:t>
      </w:r>
    </w:p>
    <w:p w14:paraId="3F698144" w14:textId="230742FB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Iniciada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etapa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competitiva,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encaminhar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exclusivamente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imediatamente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informados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recebimento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consignado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registro.</w:t>
      </w:r>
    </w:p>
    <w:p w14:paraId="4D90DC3B" w14:textId="07FB0700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4.2.1.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lance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deverá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ofertado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valor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total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item.</w:t>
      </w:r>
    </w:p>
    <w:p w14:paraId="495D9BB3" w14:textId="4F946639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Nota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explicativa: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Deve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autoridade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optar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uma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outra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redação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item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conformidade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objeto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contratado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critério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julgamento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já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estabelecido.</w:t>
      </w:r>
    </w:p>
    <w:p w14:paraId="272AFAD2" w14:textId="70DA9DB5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4.3.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oferecer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inferior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percentual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desconto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último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ofertado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sistema.</w:t>
      </w:r>
    </w:p>
    <w:p w14:paraId="36E50722" w14:textId="54A3617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4.3.1.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oferecer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sucessivos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iguais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superiores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esteja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vencendo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certame,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inferiores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ofertado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definidos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“lances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intermediários”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fins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Direta.</w:t>
      </w:r>
    </w:p>
    <w:p w14:paraId="0B4F69B6" w14:textId="50CE35F9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4.3.2.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intervalo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mínimo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diferença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percentuais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incidirá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intermediários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cobrir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melhor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oferta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é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1</w:t>
      </w:r>
      <w:r w:rsidR="00AD3ADB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%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(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um </w:t>
      </w:r>
      <w:r w:rsidR="00AD3ADB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por cento</w:t>
      </w:r>
      <w:bookmarkStart w:id="1" w:name="_GoBack"/>
      <w:bookmarkEnd w:id="1"/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).</w:t>
      </w:r>
    </w:p>
    <w:p w14:paraId="0097341A" w14:textId="4445C4DC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4.4.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iguais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ofertado,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prevalecerá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aquele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recebido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primeiro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sistema.</w:t>
      </w:r>
    </w:p>
    <w:p w14:paraId="43B679C6" w14:textId="683D20DF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4.5.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concorrerá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proposta.</w:t>
      </w:r>
    </w:p>
    <w:p w14:paraId="4A6A80D7" w14:textId="41A401BE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4.6.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Durante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informados,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tempo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real,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registrado,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vedada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identificação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fornecedor.</w:t>
      </w:r>
    </w:p>
    <w:p w14:paraId="72DD8A39" w14:textId="5E2ABB6A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4.7.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Imediatamente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após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término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encerramento,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ordenamento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divulgação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ordem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crescente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classificação.</w:t>
      </w:r>
    </w:p>
    <w:p w14:paraId="380CAFE8" w14:textId="14E1C309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4.7.1.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encerramento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ocorrerá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automática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pontualmente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indicado,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possibilidade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prorrogação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tempo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aleatório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mecanismo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similar.</w:t>
      </w:r>
    </w:p>
    <w:p w14:paraId="59C53338" w14:textId="176CA3B9" w:rsidR="00FD14E9" w:rsidRPr="00FD14E9" w:rsidRDefault="007351DF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7D4AC04F" w14:textId="73BB5CFA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JULGAMENTO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PROPOSTAS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PREÇO</w:t>
      </w:r>
    </w:p>
    <w:p w14:paraId="37C09627" w14:textId="1F6C0BD5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Encerrada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verificada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conformidade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primeiro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lugar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adequação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compatibilidade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estipulado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contratação.</w:t>
      </w:r>
    </w:p>
    <w:p w14:paraId="724D2EF5" w14:textId="4A2E92B1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vencedora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acima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estimado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negociação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vantajosas.</w:t>
      </w:r>
    </w:p>
    <w:p w14:paraId="160F5036" w14:textId="521FC06B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encaminhada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tenha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melhor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seja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obtida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melhor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compatível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estimado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Administração.</w:t>
      </w:r>
    </w:p>
    <w:p w14:paraId="6484EDF9" w14:textId="46775E3F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5.2.2.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negociação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feita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demais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classificados,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respeitada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ordem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primeiro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colocado,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mesmo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após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negociação,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desclassificado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razão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permanecer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acima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máximo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definido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contratação.</w:t>
      </w:r>
    </w:p>
    <w:p w14:paraId="5AAA58CD" w14:textId="4586471F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5.2.3.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concluída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negociação,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resultado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eletrônica.</w:t>
      </w:r>
    </w:p>
    <w:p w14:paraId="541D872A" w14:textId="2EAA4D56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compatível,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solicitado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envio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necessário,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complementares,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adequada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último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lance.</w:t>
      </w:r>
    </w:p>
    <w:p w14:paraId="0BD7362B" w14:textId="7A74D3C7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Além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documentação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supracitada,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melhor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deverá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encaminhar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planilha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indicação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custos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unitários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formação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preços,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conforme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modelo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anexo,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valores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adequados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vencedora.</w:t>
      </w:r>
    </w:p>
    <w:p w14:paraId="5A45D647" w14:textId="268CF05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5.4.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inferior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FF0000"/>
          <w:kern w:val="0"/>
          <w:sz w:val="24"/>
          <w:szCs w:val="24"/>
          <w:u w:val="single"/>
          <w:lang w:eastAsia="pt-BR"/>
          <w14:ligatures w14:val="none"/>
        </w:rPr>
        <w:t>60</w:t>
      </w:r>
      <w:r w:rsidR="007351DF">
        <w:rPr>
          <w:rFonts w:ascii="Calibri" w:eastAsia="Times New Roman" w:hAnsi="Calibri" w:cs="Calibri"/>
          <w:color w:val="FF0000"/>
          <w:kern w:val="0"/>
          <w:sz w:val="24"/>
          <w:szCs w:val="24"/>
          <w:u w:val="single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FF0000"/>
          <w:kern w:val="0"/>
          <w:sz w:val="24"/>
          <w:szCs w:val="24"/>
          <w:u w:val="single"/>
          <w:lang w:eastAsia="pt-BR"/>
          <w14:ligatures w14:val="none"/>
        </w:rPr>
        <w:t>(sessenta)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dias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apresentação.</w:t>
      </w:r>
    </w:p>
    <w:p w14:paraId="443A46A6" w14:textId="56A35355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5.5.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desclassificada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vencedora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que:</w:t>
      </w:r>
    </w:p>
    <w:p w14:paraId="0AB51484" w14:textId="012CD1AB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5.5.1.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contiver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vícios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insanáveis;</w:t>
      </w:r>
    </w:p>
    <w:p w14:paraId="5FE0C6FF" w14:textId="7E7CED06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5.5.2.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obedecer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especificações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técnicas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pormenorizadas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anexos;</w:t>
      </w:r>
    </w:p>
    <w:p w14:paraId="4D3F0392" w14:textId="3683FF5C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5.5.3.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apresentar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inexequíveis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permanecerem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acima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máximo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definido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contratação;</w:t>
      </w:r>
    </w:p>
    <w:p w14:paraId="0578D734" w14:textId="60BD2FFB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5.5.4.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tiverem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exequibilidade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demonstrada,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Administração;</w:t>
      </w:r>
    </w:p>
    <w:p w14:paraId="07E48D3B" w14:textId="32127BC8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5.5.5.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apresentar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desconformidade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quaisquer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exigências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insanável.</w:t>
      </w:r>
    </w:p>
    <w:p w14:paraId="660AD1C5" w14:textId="6819470E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5.6.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conseguir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comprovar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possui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possuirá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recursos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suficientes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executar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contento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objeto,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considerada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inexequível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preços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menor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lance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que:</w:t>
      </w:r>
    </w:p>
    <w:p w14:paraId="481E5B64" w14:textId="6D408AB2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5.6.1.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for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insuficiente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cobertura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custos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contratação,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apresente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preços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global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unitários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simbólicos,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irrisórios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valor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zero,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incompatíveis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preços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insumos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salários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mercado,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acrescidos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respectivos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encargos,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ainda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convocatório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dispensa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tenha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estabelecido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limites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mínimos,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exceto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quando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referirem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materiais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instalações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propriedade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próprio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fornecedor,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quais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ele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renuncie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parcela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totalidade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remuneração.</w:t>
      </w:r>
    </w:p>
    <w:p w14:paraId="4FA4E996" w14:textId="55FF45CE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5.6.2.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apresentar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um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mais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valores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planilha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custo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sejam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inferiores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àqueles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fixados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instrumentos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caráter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normativo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obrigatório,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tais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leis,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medidas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provisórias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convenções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coletivas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trabalho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vigentes.</w:t>
      </w:r>
    </w:p>
    <w:p w14:paraId="04A20CAB" w14:textId="0891B00A" w:rsidR="00FD14E9" w:rsidRPr="00FD14E9" w:rsidRDefault="00FD14E9" w:rsidP="00FD14E9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5.7.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houver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indícios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inexequibilidade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esclarecimentos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complementares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efetuadas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diligências,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comprove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exequibilidade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proposta.</w:t>
      </w:r>
    </w:p>
    <w:p w14:paraId="57CCA22F" w14:textId="079E65D7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5.8.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Erros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preenchimento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planilha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constituem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motivo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desclassificação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planilha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poderá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ajustada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indicado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haja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majoração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preço.</w:t>
      </w:r>
    </w:p>
    <w:p w14:paraId="6076C967" w14:textId="0800B8BE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5.8.1.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ajuste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dispositivo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limita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erros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falhas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alterem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substância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propostas;</w:t>
      </w:r>
    </w:p>
    <w:p w14:paraId="48195693" w14:textId="2E82ABBD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5.8.2.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Considera-se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erro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preenchimento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planilha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passível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correção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indicação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recolhimento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impostos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contribuições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Simples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cabível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regime.</w:t>
      </w:r>
    </w:p>
    <w:p w14:paraId="0F1B1D4C" w14:textId="50E64689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5.9.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fins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análise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cumprimento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especificações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colhida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manifestação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escrita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setor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requisitante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serviço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área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especializada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objeto.</w:t>
      </w:r>
    </w:p>
    <w:p w14:paraId="1E3FA28F" w14:textId="55FE8729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5.10.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vencedor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desclassificado,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examinada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subsequente,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sucessivamente,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ordem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classificação.</w:t>
      </w:r>
    </w:p>
    <w:p w14:paraId="0A4C1966" w14:textId="4A5FCC09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necessidade,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sessão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suspensa,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informando-se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“chat”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continuidade.</w:t>
      </w:r>
    </w:p>
    <w:p w14:paraId="2477228B" w14:textId="087D63FB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Encerrada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análise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aceitação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iniciará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observado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disposto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Direta.</w:t>
      </w:r>
    </w:p>
    <w:p w14:paraId="0974E2BA" w14:textId="0EDC844D" w:rsidR="00FD14E9" w:rsidRPr="00FD14E9" w:rsidRDefault="007351DF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lastRenderedPageBreak/>
        <w:t xml:space="preserve"> </w:t>
      </w:r>
    </w:p>
    <w:p w14:paraId="642A9DD5" w14:textId="01CB2C5B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HABILITAÇÃO</w:t>
      </w:r>
    </w:p>
    <w:p w14:paraId="51F5F149" w14:textId="4462AECA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fins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constam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ANEXO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I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–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EXIGIDA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solicitados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lances.</w:t>
      </w:r>
    </w:p>
    <w:p w14:paraId="63364F7D" w14:textId="12A5D94C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prévia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exame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detentor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primeiro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lugar,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verificado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eventual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descumprimento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especialmente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existência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impeça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certame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futura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mediante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consulta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seguintes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cadastros:</w:t>
      </w:r>
    </w:p>
    <w:p w14:paraId="359463AD" w14:textId="01A7052E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SICAF;</w:t>
      </w:r>
    </w:p>
    <w:p w14:paraId="18C0A197" w14:textId="29282BBA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B)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Inidôneas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Suspensas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CEIS,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mantido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Controladoria-Geral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União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</w:t>
      </w:r>
      <w:hyperlink r:id="rId5" w:tgtFrame="_blank" w:history="1">
        <w:r w:rsidRPr="00FD14E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www.portaldatransparencia.gov.br/ceis</w:t>
        </w:r>
      </w:hyperlink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);</w:t>
      </w:r>
    </w:p>
    <w:p w14:paraId="3103EB1C" w14:textId="10E486E0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Condenações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Cíveis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Improbidade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mantido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Conselho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Justiça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</w:t>
      </w:r>
      <w:hyperlink r:id="rId6" w:tgtFrame="_blank" w:history="1">
        <w:r w:rsidRPr="00FD14E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www.cnj.jus.br/improbidade_adm/consultar_requerido.php</w:t>
        </w:r>
      </w:hyperlink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).</w:t>
      </w:r>
    </w:p>
    <w:p w14:paraId="7E5F4F0F" w14:textId="6F3CC886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Inidôneos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mantida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Tribunal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União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TCU;</w:t>
      </w:r>
    </w:p>
    <w:p w14:paraId="2968F400" w14:textId="7573698E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6.2.1.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consulta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substituição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consultas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alíneas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“b”,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“c”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“d”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acima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Consulta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Consolidada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TCU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(https://certidoesapf.apps.tcu.gov.br/)</w:t>
      </w:r>
    </w:p>
    <w:p w14:paraId="3A658016" w14:textId="73734BC6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6.2.2.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consulta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realizada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também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sócio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majoritário,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força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artigo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12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n°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8.429,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1992,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prevê,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dentre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impostas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responsável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prática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improbidade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proibição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inclusive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intermédio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seja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sócio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majoritário.</w:t>
      </w:r>
    </w:p>
    <w:p w14:paraId="62EFAEE5" w14:textId="626D8C10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6.2.2.1.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Consulta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Situação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existência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Ocorrências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Impeditivas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Indiretas,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gestor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diligenciará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verificar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houve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fraude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apontadas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Relatório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Ocorrências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Impeditivas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Indiretas.</w:t>
      </w:r>
    </w:p>
    <w:p w14:paraId="20157E68" w14:textId="645F2D19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6.2.2.1.1.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tentativa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burla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verificada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vínculos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societários,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linhas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similares,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dentre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outros.</w:t>
      </w:r>
    </w:p>
    <w:p w14:paraId="739F0EE1" w14:textId="36236777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6.2.2.1.2.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convocado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manifestação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desclassificação.</w:t>
      </w:r>
    </w:p>
    <w:p w14:paraId="380AC94C" w14:textId="565E20D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6.2.3.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Constatada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existência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reputado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inabilitado,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falta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participação.</w:t>
      </w:r>
    </w:p>
    <w:p w14:paraId="10D93052" w14:textId="10E6EAA1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atendidas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verificada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SICAF,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abrangidos.</w:t>
      </w:r>
    </w:p>
    <w:p w14:paraId="771F66BE" w14:textId="36D2AAAA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6.3.1.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É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atualizar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comprovações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constantes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SICAF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estejam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vigentes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abertura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sessão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encaminhar,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solicitado,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respectiva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atualizada.</w:t>
      </w:r>
    </w:p>
    <w:p w14:paraId="0AB586A1" w14:textId="1596D850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6.3.2.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descumprimento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subitem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acima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implicará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inabilitação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exceto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consulta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sítios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oficiais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emissores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certidões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lograr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êxito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encontrar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a(</w:t>
      </w:r>
      <w:proofErr w:type="gramEnd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certidão(</w:t>
      </w:r>
      <w:proofErr w:type="spell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ões</w:t>
      </w:r>
      <w:proofErr w:type="spellEnd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válida(s).</w:t>
      </w:r>
    </w:p>
    <w:p w14:paraId="70FA8ED9" w14:textId="076847B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envio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complementares,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necessários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confirmação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daqueles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apresentados,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convocado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encaminhá-los,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formato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digital,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após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solicitação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inabilitação.</w:t>
      </w:r>
    </w:p>
    <w:p w14:paraId="57471C28" w14:textId="4AF6539D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6.5.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comprovação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preenchimento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requisitos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mediante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originais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não-digitais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houver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dúvida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integridade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digital.</w:t>
      </w:r>
    </w:p>
    <w:p w14:paraId="5E101826" w14:textId="3974FF4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6.6.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enquadrado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microempreendedor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individual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pretenda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auferir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benefícios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tratamento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diferenciado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Complementar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123,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2006,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(a)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inscrição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contribuintes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estadual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municipal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(b)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balanço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patrimonial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demonstrações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contábeis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último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exercício.</w:t>
      </w:r>
    </w:p>
    <w:p w14:paraId="2A7B600B" w14:textId="4C4060D5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6.7.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analisar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minuciosamente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sessão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suspensa,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continuidade.</w:t>
      </w:r>
    </w:p>
    <w:p w14:paraId="5A205199" w14:textId="1F7870B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6.8.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inabilitado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comprovar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seja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quaisquer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apresentá-los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desacordo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Direta.</w:t>
      </w:r>
    </w:p>
    <w:p w14:paraId="24E73EFD" w14:textId="621F596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6.8.1.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hipótese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exigências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órgão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examinará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subsequente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sucessivamente,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ordem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até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apuração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especificações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</w:p>
    <w:p w14:paraId="566832AC" w14:textId="39614C8F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6.9.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Constatado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exigências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habilitado.</w:t>
      </w:r>
    </w:p>
    <w:p w14:paraId="766CC440" w14:textId="2513BDC3" w:rsidR="00FD14E9" w:rsidRPr="00FD14E9" w:rsidRDefault="007351DF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45B1CE4D" w14:textId="66FEF818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CONTRATAÇÃO</w:t>
      </w:r>
    </w:p>
    <w:p w14:paraId="51442DF9" w14:textId="30EC8A45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7.1.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Após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homologação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adjudicação,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conclua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firmado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emitido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instrumento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equivalente.</w:t>
      </w:r>
    </w:p>
    <w:p w14:paraId="3FA486AB" w14:textId="62D086B7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Nota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explicativa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: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acordo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art.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95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Lei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14.133/21,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termo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contrato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é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facultativo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nas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contratações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fundadas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art.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75,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incisos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II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(dispensa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valor)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caso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compras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entrega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imediata.</w:t>
      </w:r>
    </w:p>
    <w:p w14:paraId="25CF2677" w14:textId="5B30C92D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Assim,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caso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haja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termo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contrato,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este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poderá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substituído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outros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instrumentos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hábeis,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como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carta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contrato,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nota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empenho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despesa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autorização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compra,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quais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deve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constar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expressamente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vinculação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termos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dispensa.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redação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presente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tópico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procura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abarcar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ambas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hipóteses,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sem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prejuízo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eventuais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ajustes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façam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necessários.</w:t>
      </w:r>
    </w:p>
    <w:p w14:paraId="17035CA1" w14:textId="5C1B71F1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7.2.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adjudicatário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terá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.........(........)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dias</w:t>
      </w:r>
      <w:proofErr w:type="gramEnd"/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úteis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contados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partir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convocação,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assinar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Termo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Contrato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aceitar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instrumento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equivalente,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conforme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caso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(Nota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Empenho/Carta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Contrato/Autorização),</w:t>
      </w:r>
      <w:r w:rsidR="007351DF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sob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pena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decair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direito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contratação,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sem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prejuízo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sanções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previstas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Direta.</w:t>
      </w:r>
    </w:p>
    <w:p w14:paraId="77054535" w14:textId="549A2376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7.2.1.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Alternativamente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convocação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comparecer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perante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órgão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entidade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assinatura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Termo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Contrato,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Administração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poderá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encaminhá-lo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assinatura,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mediante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correspondência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postal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recebimento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(AR)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meio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eletrônico,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seja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assinado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devolvido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prazo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......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(....</w:t>
      </w:r>
      <w:proofErr w:type="gramEnd"/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.)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dias</w:t>
      </w:r>
      <w:proofErr w:type="gramEnd"/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,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contar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data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seu</w:t>
      </w:r>
      <w:r w:rsidR="007351DF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recebimento.</w:t>
      </w:r>
    </w:p>
    <w:p w14:paraId="203CEF5A" w14:textId="4C672788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7.2.2.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previsto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assinatura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contrato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aceitação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nota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empenho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instrumento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equivalente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poderá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prorrogado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1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(uma)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vez,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igual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período,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solicitação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justificada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adjudicatário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aceita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Administração.</w:t>
      </w:r>
    </w:p>
    <w:p w14:paraId="5CB71527" w14:textId="3C506A32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7.3.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Aceite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Nota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Empenho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instrumento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equivalente,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emitida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empresa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adjudicada,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implica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reconhecimento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que:</w:t>
      </w:r>
    </w:p>
    <w:p w14:paraId="76B3619D" w14:textId="6B84CDF2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7.3.1.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referida</w:t>
      </w:r>
      <w:proofErr w:type="gramEnd"/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Nota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está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substituindo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contrato,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aplicando-se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relação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negócios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ali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estabelecida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disposições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Lei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14.133,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2021;</w:t>
      </w:r>
    </w:p>
    <w:p w14:paraId="5AB4CC2E" w14:textId="3A8E6EEB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7.3.2.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</w:t>
      </w:r>
      <w:proofErr w:type="gramEnd"/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contratada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vincula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às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previsões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contidas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Direta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seus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anexos;</w:t>
      </w:r>
    </w:p>
    <w:p w14:paraId="6509DC32" w14:textId="6F62B365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7.3.3.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</w:t>
      </w:r>
      <w:proofErr w:type="gramEnd"/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contratada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reconhece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hipóteses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rescisão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são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aquelas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previstas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artigos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137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138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Lei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14.133/21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reconhece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direitos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Administração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previstos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artigos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137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139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mesma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Lei.</w:t>
      </w:r>
    </w:p>
    <w:p w14:paraId="4651620D" w14:textId="7FB004DE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Nota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Explicativa: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Utilizar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subitem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acima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caso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haver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uso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nota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empenho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instrumento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assemelhado</w:t>
      </w:r>
    </w:p>
    <w:p w14:paraId="3B2B582D" w14:textId="4E97017B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7.4.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vigência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é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 xml:space="preserve">24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>meses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conforme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Direta.</w:t>
      </w:r>
    </w:p>
    <w:p w14:paraId="08E28CD2" w14:textId="4A55E326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7.5.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assinatura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instrumento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equivalente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comprovação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consignadas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mantidas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durante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vigência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contrato.</w:t>
      </w:r>
    </w:p>
    <w:p w14:paraId="7640F8ED" w14:textId="13978030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Nota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explicativa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: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Nesse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momento,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deve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haver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checagem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manutenção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todas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condições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habilitação,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limitando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apenas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consulta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SICAF.</w:t>
      </w:r>
    </w:p>
    <w:p w14:paraId="359A957C" w14:textId="21D1C9E1" w:rsidR="00FD14E9" w:rsidRPr="00FD14E9" w:rsidRDefault="007351DF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0665736B" w14:textId="46F8083F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SANÇÕES</w:t>
      </w:r>
    </w:p>
    <w:p w14:paraId="7D097A47" w14:textId="231D3855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Comete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cometer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quaisquer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infrações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art.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155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14.133,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2021,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sejam:</w:t>
      </w:r>
    </w:p>
    <w:p w14:paraId="6FA4EEA6" w14:textId="21AFDC4B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8.1.1.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dar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causa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inexecução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parcial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contrato;</w:t>
      </w:r>
    </w:p>
    <w:p w14:paraId="2564560F" w14:textId="59BC49A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8.1.2.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dar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causa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inexecução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parcial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cause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grave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funcionamento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serviços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interesse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coletivo;</w:t>
      </w:r>
    </w:p>
    <w:p w14:paraId="15464BC1" w14:textId="03A294D1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8.1.3.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dar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causa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inexecução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total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contrato;</w:t>
      </w:r>
    </w:p>
    <w:p w14:paraId="44D4D779" w14:textId="29759448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8.1.4.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deixar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entregar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certame;</w:t>
      </w:r>
    </w:p>
    <w:p w14:paraId="345B04D0" w14:textId="765DBD5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8.1.5.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manter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salvo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decorrência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superveniente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devidamente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justificado;</w:t>
      </w:r>
    </w:p>
    <w:p w14:paraId="22D480D2" w14:textId="6300A0D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8.1.6.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celebrar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entregar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convocado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dentro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proposta;</w:t>
      </w:r>
    </w:p>
    <w:p w14:paraId="4D5EC949" w14:textId="0E10AC36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8.1.7.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ensejar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retardamento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execução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entrega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licitação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motivo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justificado;</w:t>
      </w:r>
    </w:p>
    <w:p w14:paraId="485CDCEC" w14:textId="630FDDF7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8.1.8.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apresentar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declaração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falsa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certame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prestar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declaração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falsa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durante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execução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contrato;</w:t>
      </w:r>
    </w:p>
    <w:p w14:paraId="2D9416B0" w14:textId="3212E6E9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8.1.9.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fraudar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praticar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fraudulento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execução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contrato;</w:t>
      </w:r>
    </w:p>
    <w:p w14:paraId="25372652" w14:textId="309F2499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8.1.10.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comportar</w:t>
      </w:r>
      <w:proofErr w:type="gramEnd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modo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inidôneo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cometer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fraude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natureza;</w:t>
      </w:r>
    </w:p>
    <w:p w14:paraId="4FC5DD19" w14:textId="51ED3D1C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8.1.10.1.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Considera-se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comportamento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inidôneo,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declaração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falsa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enquadramento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ME/EPP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conluio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momento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mesmo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após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encerramento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lances.</w:t>
      </w:r>
    </w:p>
    <w:p w14:paraId="74BFE298" w14:textId="2914193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8.1.11.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praticar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ilícitos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vistas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frustrar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objetivos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certame.</w:t>
      </w:r>
    </w:p>
    <w:p w14:paraId="0064CB3F" w14:textId="2049D4C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8.1.12.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praticar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lesivo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hyperlink r:id="rId7" w:anchor="art5" w:tgtFrame="_blank" w:history="1">
        <w:r w:rsidRPr="00FD14E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art.</w:t>
        </w:r>
        <w:r w:rsidR="007351DF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5º</w:t>
        </w:r>
        <w:r w:rsidR="007351DF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da</w:t>
        </w:r>
        <w:r w:rsidR="007351DF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Lei</w:t>
        </w:r>
        <w:r w:rsidR="007351DF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nº</w:t>
        </w:r>
        <w:r w:rsidR="007351DF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12.846,</w:t>
        </w:r>
        <w:r w:rsidR="007351DF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de</w:t>
        </w:r>
        <w:r w:rsidR="007351DF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1º</w:t>
        </w:r>
        <w:r w:rsidR="007351DF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de</w:t>
        </w:r>
        <w:r w:rsidR="007351DF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agosto</w:t>
        </w:r>
        <w:r w:rsidR="007351DF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de</w:t>
        </w:r>
        <w:r w:rsidR="007351DF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FD14E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2013.</w:t>
        </w:r>
      </w:hyperlink>
    </w:p>
    <w:p w14:paraId="35D5E443" w14:textId="17E0EA85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8.2.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cometer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infrações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discriminadas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subitens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anteriores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ficará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sujeito,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prejuízo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responsabilidade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civil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criminal,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seguintes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sanções:</w:t>
      </w:r>
    </w:p>
    <w:p w14:paraId="69A2B6E8" w14:textId="48A56FF6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A)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Advertência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falta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subitem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8.1.1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justificar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imposição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penalidade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grave;</w:t>
      </w:r>
    </w:p>
    <w:p w14:paraId="224FBEF8" w14:textId="685F7061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B)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Multa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>10%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>(dez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>cento)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estimado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do(</w:t>
      </w:r>
      <w:proofErr w:type="gramEnd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item(s)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prejudicado(s)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conduta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infrações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subitens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8.1.1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8.1.12;</w:t>
      </w:r>
    </w:p>
    <w:p w14:paraId="685DFE04" w14:textId="2C80D2BC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Nota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Explicativa: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termos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art.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156,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§3º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Lei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14.133/21,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multa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deve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prevista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percentual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entre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0,5%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30%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valor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shd w:val="clear" w:color="auto" w:fill="FFFFCC"/>
          <w:lang w:eastAsia="pt-BR"/>
          <w14:ligatures w14:val="none"/>
        </w:rPr>
        <w:t>contrato.</w:t>
      </w:r>
    </w:p>
    <w:p w14:paraId="78E6DC0E" w14:textId="23BB19BE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C)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Impedimento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licitar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âmbito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indireta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federativo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tiver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máximo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3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(três)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subitens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8.1.2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8.1.7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justificar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imposição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penalidade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grave;</w:t>
      </w:r>
    </w:p>
    <w:p w14:paraId="4B9507E9" w14:textId="094EC5A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D)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Declaração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inidoneidade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licitar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contratar,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impedirá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responsável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licitar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âmbito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indireta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federativos,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mínimo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3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(três)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máximo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6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(seis)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subitens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8.1.8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8.1.12,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demais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justifiquem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imposição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penalidade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grave;</w:t>
      </w:r>
    </w:p>
    <w:p w14:paraId="2F5D552E" w14:textId="0A7CCF0A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8.3.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considerados:</w:t>
      </w:r>
    </w:p>
    <w:p w14:paraId="2A998FE4" w14:textId="15E21375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8.3.1.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natureza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gravidade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cometida;</w:t>
      </w:r>
    </w:p>
    <w:p w14:paraId="6031F0EC" w14:textId="1F5005FE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8.3.2.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peculiaridades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concreto;</w:t>
      </w:r>
    </w:p>
    <w:p w14:paraId="76F4786E" w14:textId="6237CCE8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8.3.3.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circunstâncias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agravantes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atenuantes;</w:t>
      </w:r>
    </w:p>
    <w:p w14:paraId="1BBD06FA" w14:textId="4DDE6786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8.3.4.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provierem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Pública;</w:t>
      </w:r>
    </w:p>
    <w:p w14:paraId="3DC177C4" w14:textId="6CA5D9E8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8.3.5.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implantação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aperfeiçoamento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programa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integridade,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conforme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normas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orientações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órgãos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controle.</w:t>
      </w:r>
    </w:p>
    <w:p w14:paraId="421C76F7" w14:textId="6E3A18E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bookmarkStart w:id="2" w:name="art156§6"/>
      <w:bookmarkStart w:id="3" w:name="art156§7"/>
      <w:bookmarkStart w:id="4" w:name="art156§8"/>
      <w:bookmarkEnd w:id="2"/>
      <w:bookmarkEnd w:id="3"/>
      <w:bookmarkEnd w:id="4"/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8.4.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multa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indenizações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cabíveis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superiores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pagamento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eventualmente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além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diferença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descontada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garantia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prestada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cobrada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judicialmente.</w:t>
      </w:r>
    </w:p>
    <w:p w14:paraId="590CB69F" w14:textId="1DBB372D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bookmarkStart w:id="5" w:name="art156§9"/>
      <w:bookmarkEnd w:id="5"/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8.5.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hipótese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alguma,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obrigação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reparação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integral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causado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Pública.</w:t>
      </w:r>
    </w:p>
    <w:p w14:paraId="57C6EA3F" w14:textId="13E54A9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8.6.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penalidade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multa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cumulativamente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demais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sanções.</w:t>
      </w:r>
    </w:p>
    <w:p w14:paraId="05154FBA" w14:textId="1BDFFAC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8.7.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durante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processo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penalidade,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houver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indícios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prática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tipificada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12.846,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1º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agosto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2013,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lesivo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estrangeira,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cópias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processo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necessárias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apuração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responsabilidade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remetidas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autoridade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competente,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despacho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fundamentado,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ciência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decisão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eventual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instauração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investigação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preliminar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Processo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Responsabilização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–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PAR.</w:t>
      </w:r>
    </w:p>
    <w:p w14:paraId="1DA04812" w14:textId="6BEC8C50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8.8.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apuração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julgamento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demais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infrações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consideradas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lesivo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estrangeira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12.846,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1º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agosto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2013,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seguirão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rito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normal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unidade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administrativa.</w:t>
      </w:r>
    </w:p>
    <w:p w14:paraId="28F9A88B" w14:textId="1CAB14A9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8.9.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processamento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interfere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regular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processos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específicos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apuração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ocorrência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prejuízos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resultantes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lesivo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cometido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agente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público.</w:t>
      </w:r>
    </w:p>
    <w:p w14:paraId="0CC39359" w14:textId="7EAE4C5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8.10.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penalidades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realizar-se-á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processo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assegurará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contraditório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ampla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defesa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fornecedor/adjudicatário,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observando-se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14.133,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2021,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subsidiariamente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9.784,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1999.</w:t>
      </w:r>
    </w:p>
    <w:p w14:paraId="45F86F4F" w14:textId="58A56167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8.11.</w:t>
      </w:r>
      <w:r w:rsidR="007351DF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praticados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decorrer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Aviso.</w:t>
      </w:r>
    </w:p>
    <w:p w14:paraId="66D30975" w14:textId="3C74F7F0" w:rsidR="00FD14E9" w:rsidRPr="00FD14E9" w:rsidRDefault="007351DF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491EAC96" w14:textId="25027F3C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DISPOSIÇÕES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GERAIS</w:t>
      </w:r>
    </w:p>
    <w:p w14:paraId="38CFE397" w14:textId="268927B6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divulgado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Comprasnet</w:t>
      </w:r>
      <w:proofErr w:type="spell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4.0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Portal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PNCP,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encaminhado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automaticamente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registrados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Unificado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Sicaf</w:t>
      </w:r>
      <w:proofErr w:type="spellEnd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mensagem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correspondente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linha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pretende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atender.</w:t>
      </w:r>
    </w:p>
    <w:p w14:paraId="1A5ADD51" w14:textId="10811B7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restarem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desclassificados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inabilitados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(procedimento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fracassado),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poderá:</w:t>
      </w:r>
    </w:p>
    <w:p w14:paraId="2AE92E84" w14:textId="17790694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9.2.1.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republicar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presente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data;</w:t>
      </w:r>
    </w:p>
    <w:p w14:paraId="4EAA395F" w14:textId="1B38D10D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9.2.2.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valer</w:t>
      </w:r>
      <w:proofErr w:type="gramEnd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-se,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obtida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pesquisa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serviu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base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houver,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privilegiando-se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sempre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possível,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atendidas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exigidas.</w:t>
      </w:r>
    </w:p>
    <w:p w14:paraId="7367CCEC" w14:textId="15D6FABC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9.2.2.1.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subitem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anterior,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operacionalizada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procedimento.</w:t>
      </w:r>
    </w:p>
    <w:p w14:paraId="702D6AA6" w14:textId="1D0BF26C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9.2.3.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fixar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possa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adequação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conforme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caso.</w:t>
      </w:r>
    </w:p>
    <w:p w14:paraId="19615852" w14:textId="05D5973F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9.3.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providências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subitens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9.2.1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9.2.2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acima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utilizadas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houver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comparecimento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quaisquer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interessados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(procedimento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deserto)</w:t>
      </w:r>
    </w:p>
    <w:p w14:paraId="4685F890" w14:textId="378F647F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9.4.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realização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natureza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cujo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atendido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indicado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agente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competente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respectiva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notificação.</w:t>
      </w:r>
    </w:p>
    <w:p w14:paraId="1C9D7DB0" w14:textId="5B08CC60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9.5.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Caberá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acompanhar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operações,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ficando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responsável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ônus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decorrente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negócio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inobservância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quaisquer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mensagens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emitidas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desconexão.</w:t>
      </w:r>
    </w:p>
    <w:p w14:paraId="60EB8674" w14:textId="4853E8C5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9.6.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expediente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ocorrendo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superveniente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impeça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realização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certame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marcada,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sessão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automaticamente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transferida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primeiro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útil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subsequente,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mesmo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anteriormente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haja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comunicação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contrário.</w:t>
      </w:r>
    </w:p>
    <w:p w14:paraId="4691EEDA" w14:textId="59F1764D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9.7.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divulgação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durante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envio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observarão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Brasília-DF,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inclusive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contagem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tempo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relativa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procedimento.</w:t>
      </w:r>
    </w:p>
    <w:p w14:paraId="6784EB72" w14:textId="7D14BC86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9.8.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julgamento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erros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falhas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alterem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substância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mediante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despacho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fundamentado,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acessível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atribuindo-lhes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eficácia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fins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classificação.</w:t>
      </w:r>
    </w:p>
    <w:p w14:paraId="714974D7" w14:textId="593DDE3A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9.9.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normas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disciplinadoras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sempre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interpretadas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favor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ampliação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disputa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interessados,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comprometam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interesse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princípio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isonomia,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finalidade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segurança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contratação.</w:t>
      </w:r>
    </w:p>
    <w:p w14:paraId="2A1442AF" w14:textId="64AABD41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9.10.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assumem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custos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preparação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nenhum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responsável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esses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custos,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independentemente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condução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resultado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processo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contratação.</w:t>
      </w:r>
    </w:p>
    <w:p w14:paraId="664F00AC" w14:textId="3018106C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9.11.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divergência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disposições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demais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peças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compõem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processo,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prevalecerá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Aviso.</w:t>
      </w:r>
    </w:p>
    <w:p w14:paraId="7FD9C329" w14:textId="15CB8D2E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9.12.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sessão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divulgada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eletrônico.</w:t>
      </w:r>
    </w:p>
    <w:p w14:paraId="602105B0" w14:textId="37986801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9.13.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Integram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fins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efeitos,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seguintes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anexos:</w:t>
      </w:r>
    </w:p>
    <w:p w14:paraId="6DE40C46" w14:textId="1F0BB267" w:rsidR="00FD14E9" w:rsidRPr="00FD14E9" w:rsidRDefault="007351DF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60B7C360" w14:textId="0DFDCBEF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9.13.1.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Referência;</w:t>
      </w:r>
    </w:p>
    <w:p w14:paraId="04A8A3EE" w14:textId="4D93A0F8" w:rsidR="007351DF" w:rsidRPr="00FD14E9" w:rsidRDefault="007351DF" w:rsidP="007351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9.13.</w:t>
      </w: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</w:t>
      </w: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I – Estudo Técnico </w:t>
      </w:r>
      <w:proofErr w:type="spellStart"/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Preliminr</w:t>
      </w:r>
      <w:proofErr w:type="spellEnd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;</w:t>
      </w:r>
    </w:p>
    <w:p w14:paraId="122554DD" w14:textId="6EE70F33" w:rsidR="007351DF" w:rsidRPr="00FD14E9" w:rsidRDefault="007351DF" w:rsidP="007351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9.13.</w:t>
      </w: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</w:t>
      </w: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II – Minuta do Contrato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;</w:t>
      </w:r>
    </w:p>
    <w:p w14:paraId="04CF3416" w14:textId="67ECDB5E" w:rsidR="00FD14E9" w:rsidRPr="00FD14E9" w:rsidRDefault="00FD14E9" w:rsidP="00FD14E9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1C0DED49" w14:textId="281F4B5D" w:rsidR="00FD14E9" w:rsidRPr="00FD14E9" w:rsidRDefault="00FD14E9" w:rsidP="00FD14E9">
      <w:pPr>
        <w:spacing w:after="0" w:line="240" w:lineRule="auto"/>
        <w:ind w:right="-15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Cuiabá,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08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fevereiro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2024.</w:t>
      </w:r>
    </w:p>
    <w:p w14:paraId="5D54D353" w14:textId="11BA7C4B" w:rsidR="00FD14E9" w:rsidRPr="00FD14E9" w:rsidRDefault="007351DF" w:rsidP="00FD14E9">
      <w:pPr>
        <w:spacing w:after="0" w:line="240" w:lineRule="auto"/>
        <w:ind w:right="-15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1A3BEDC6" w14:textId="1E01D06A" w:rsidR="00FD14E9" w:rsidRPr="00FD14E9" w:rsidRDefault="007351DF" w:rsidP="00FD14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081D7783" w14:textId="4C3B5D5A" w:rsidR="00FD14E9" w:rsidRPr="00FD14E9" w:rsidRDefault="007351DF" w:rsidP="00FD14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6D7E8101" w14:textId="0BD4ECAC" w:rsidR="00FD14E9" w:rsidRPr="00FD14E9" w:rsidRDefault="00FD14E9" w:rsidP="00FD14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t-BR"/>
          <w14:ligatures w14:val="none"/>
        </w:rPr>
        <w:t>Lígia</w:t>
      </w:r>
      <w:r w:rsidR="007351D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t-BR"/>
          <w14:ligatures w14:val="none"/>
        </w:rPr>
        <w:t>Neves</w:t>
      </w:r>
      <w:r w:rsidR="007351D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t-BR"/>
          <w14:ligatures w14:val="none"/>
        </w:rPr>
        <w:t>Aziz</w:t>
      </w:r>
      <w:r w:rsidR="007351D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proofErr w:type="spellStart"/>
      <w:r w:rsidRPr="00FD14E9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t-BR"/>
          <w14:ligatures w14:val="none"/>
        </w:rPr>
        <w:t>Lucindo</w:t>
      </w:r>
      <w:proofErr w:type="spellEnd"/>
    </w:p>
    <w:p w14:paraId="2927E7D8" w14:textId="12977C31" w:rsidR="00FD14E9" w:rsidRPr="00FD14E9" w:rsidRDefault="00FD14E9" w:rsidP="00FD14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color w:val="000000"/>
          <w:kern w:val="0"/>
          <w:sz w:val="20"/>
          <w:szCs w:val="20"/>
          <w:lang w:eastAsia="pt-BR"/>
          <w14:ligatures w14:val="none"/>
        </w:rPr>
        <w:t>Superintendente</w:t>
      </w:r>
      <w:r w:rsidR="007351DF">
        <w:rPr>
          <w:rFonts w:ascii="Calibri" w:eastAsia="Times New Roman" w:hAnsi="Calibri" w:cs="Calibri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0"/>
          <w:szCs w:val="20"/>
          <w:lang w:eastAsia="pt-BR"/>
          <w14:ligatures w14:val="none"/>
        </w:rPr>
        <w:t>Regional</w:t>
      </w:r>
      <w:r w:rsidR="007351DF">
        <w:rPr>
          <w:rFonts w:ascii="Calibri" w:eastAsia="Times New Roman" w:hAnsi="Calibri" w:cs="Calibri"/>
          <w:color w:val="000000"/>
          <w:kern w:val="0"/>
          <w:sz w:val="20"/>
          <w:szCs w:val="2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0"/>
          <w:szCs w:val="20"/>
          <w:lang w:eastAsia="pt-BR"/>
          <w14:ligatures w14:val="none"/>
        </w:rPr>
        <w:t>SR/PF/MT</w:t>
      </w:r>
    </w:p>
    <w:p w14:paraId="7AF61345" w14:textId="5D755C5C" w:rsidR="00FD14E9" w:rsidRPr="00FD14E9" w:rsidRDefault="007351DF" w:rsidP="00FD14E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4D4E3B0C" w14:textId="17095556" w:rsidR="00FD14E9" w:rsidRPr="00FD14E9" w:rsidRDefault="007351DF" w:rsidP="00FD14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4D3C144C" w14:textId="253F9A58" w:rsidR="00FD14E9" w:rsidRPr="00FD14E9" w:rsidRDefault="007351DF" w:rsidP="00FD14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14E398C1" w14:textId="68D2DA4D" w:rsidR="00FD14E9" w:rsidRPr="00FD14E9" w:rsidRDefault="007351DF" w:rsidP="00FD14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7A67E23A" w14:textId="35BF5E9B" w:rsidR="00FD14E9" w:rsidRPr="00FD14E9" w:rsidRDefault="007351DF" w:rsidP="00FD14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7E5EBB29" w14:textId="709B8C2A" w:rsidR="00FD14E9" w:rsidRPr="00FD14E9" w:rsidRDefault="007351DF" w:rsidP="00FD14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133F09E9" w14:textId="7E759D03" w:rsidR="00FD14E9" w:rsidRPr="00FD14E9" w:rsidRDefault="007351DF" w:rsidP="00FD14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746BE66A" w14:textId="317BED57" w:rsidR="00FD14E9" w:rsidRPr="00FD14E9" w:rsidRDefault="007351DF" w:rsidP="00FD1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6A73683E" w14:textId="74D131DB" w:rsidR="00FD14E9" w:rsidRPr="00FD14E9" w:rsidRDefault="007351DF" w:rsidP="00FD14E9">
      <w:pPr>
        <w:spacing w:after="165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6872F68D" w14:textId="1D531763" w:rsidR="00FD14E9" w:rsidRPr="00FD14E9" w:rsidRDefault="00FD14E9" w:rsidP="00FD14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ANEXO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I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–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EXIGIDA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HABILITAÇÃO</w:t>
      </w:r>
    </w:p>
    <w:p w14:paraId="1D696BDF" w14:textId="2CBDA2FE" w:rsidR="00FD14E9" w:rsidRPr="00FD14E9" w:rsidRDefault="00FD14E9" w:rsidP="00FD14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FF0000"/>
          <w:kern w:val="0"/>
          <w:sz w:val="16"/>
          <w:szCs w:val="16"/>
          <w:lang w:eastAsia="pt-BR"/>
          <w14:ligatures w14:val="none"/>
        </w:rPr>
        <w:t>Aquisições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16"/>
          <w:szCs w:val="16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16"/>
          <w:szCs w:val="16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16"/>
          <w:szCs w:val="16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16"/>
          <w:szCs w:val="16"/>
          <w:lang w:eastAsia="pt-BR"/>
          <w14:ligatures w14:val="none"/>
        </w:rPr>
        <w:t>entrega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16"/>
          <w:szCs w:val="16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16"/>
          <w:szCs w:val="16"/>
          <w:lang w:eastAsia="pt-BR"/>
          <w14:ligatures w14:val="none"/>
        </w:rPr>
        <w:t>imediata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16"/>
          <w:szCs w:val="16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16"/>
          <w:szCs w:val="16"/>
          <w:lang w:eastAsia="pt-BR"/>
          <w14:ligatures w14:val="none"/>
        </w:rPr>
        <w:t>(30</w:t>
      </w:r>
      <w:r w:rsidR="007351DF">
        <w:rPr>
          <w:rFonts w:ascii="Calibri" w:eastAsia="Times New Roman" w:hAnsi="Calibri" w:cs="Calibri"/>
          <w:b/>
          <w:bCs/>
          <w:color w:val="FF0000"/>
          <w:kern w:val="0"/>
          <w:sz w:val="16"/>
          <w:szCs w:val="16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FF0000"/>
          <w:kern w:val="0"/>
          <w:sz w:val="16"/>
          <w:szCs w:val="16"/>
          <w:lang w:eastAsia="pt-BR"/>
          <w14:ligatures w14:val="none"/>
        </w:rPr>
        <w:t>DIAS)</w:t>
      </w:r>
    </w:p>
    <w:p w14:paraId="705C0C05" w14:textId="0968CE1E" w:rsidR="00FD14E9" w:rsidRPr="00FD14E9" w:rsidRDefault="007351DF" w:rsidP="00FD14E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16461CFF" w14:textId="1CD217B3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Regularidade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fiscal,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social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trabalhista:</w:t>
      </w:r>
    </w:p>
    <w:p w14:paraId="1AD31BCF" w14:textId="65F858D2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1.1.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prova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inscrição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Físicas,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conforme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caso;</w:t>
      </w:r>
    </w:p>
    <w:p w14:paraId="2FDE9E61" w14:textId="4F48FB77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1.2.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regularidade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fiscal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Fazenda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mediante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certidão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expedida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conjuntamente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Secretaria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Receita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Brasil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(RFB)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Procuradoria-Geral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Fazenda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(PGFN),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referente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créditos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tributários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Dívida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Ativa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União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(DAU)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administrados,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inclusive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aqueles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relativos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Seguridade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Social,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Portaria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Conjunta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1.751,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02/10/2014,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Secretário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Receita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Brasil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Procuradora-Geral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Fazenda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Nacional.</w:t>
      </w:r>
    </w:p>
    <w:p w14:paraId="0A6EC256" w14:textId="4CA82B46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1.3.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prova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regularidade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Fundo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Garantia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Tempo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Serviço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(FGTS);</w:t>
      </w:r>
    </w:p>
    <w:p w14:paraId="56222193" w14:textId="7829C77C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1.4.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prova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inexistência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débitos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inadimplidos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Justiça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mediante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certidão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negativa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positiva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efeito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negativa,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Título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VII-A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Consolidação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Trabalho,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aprovada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Decreto-Lei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5.452,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1º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1943;</w:t>
      </w:r>
    </w:p>
    <w:p w14:paraId="766EF76A" w14:textId="57BCDBDB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1.5.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prova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inscrição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contribuintes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estadual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e/ou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municipal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relativo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domicílio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pertinente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ramo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atividade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compatível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contratual;</w:t>
      </w:r>
    </w:p>
    <w:p w14:paraId="1A1696BF" w14:textId="67A9166A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1.6.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prova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regularidade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Fazenda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Estadual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e/ou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Municipal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domicílio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relativa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atividade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cujo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exercício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concorre;</w:t>
      </w:r>
    </w:p>
    <w:p w14:paraId="6FA1CCF7" w14:textId="51C63EF0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Nota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explicativa: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artigo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193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CTN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preceitua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prova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quitação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todos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tributos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devidos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dar-se-á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00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0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00"/>
          <w:lang w:eastAsia="pt-BR"/>
          <w14:ligatures w14:val="none"/>
        </w:rPr>
        <w:t>âmbito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0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00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0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00"/>
          <w:lang w:eastAsia="pt-BR"/>
          <w14:ligatures w14:val="none"/>
        </w:rPr>
        <w:t>Fazenda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0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00"/>
          <w:lang w:eastAsia="pt-BR"/>
          <w14:ligatures w14:val="none"/>
        </w:rPr>
        <w:t>Pública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00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00"/>
          <w:lang w:eastAsia="pt-BR"/>
          <w14:ligatures w14:val="none"/>
        </w:rPr>
        <w:t>interessada,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relativos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atividade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cujo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exercício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contrata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concorre.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comprovação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inscrição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cadastro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contribuinte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regularidade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fiscal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correspondente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(estadual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municipal)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considerará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natureza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atividade,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objeto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contratação.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exigência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inscrição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no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cadastro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decorre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âmbito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tributação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incidente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sobre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objeto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contratação: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tratando-se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serviços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em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geral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obras,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incide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ISS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tributo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municipal;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enquanto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para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aquisições,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incide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ICMS,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tributo</w:t>
      </w:r>
      <w:r w:rsidR="007351DF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estadual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.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Alerte-se,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apenas,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que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há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serviços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sobre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quais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incide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ICMS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(serviços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transporte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intermunicipal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interestadual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serviços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comunicação).</w:t>
      </w:r>
    </w:p>
    <w:p w14:paraId="2D4106AF" w14:textId="19CBCAEB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Desse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modo,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cabe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à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Administração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verificar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Fazenda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interessada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ajustar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os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dois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subitens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acima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000000"/>
          <w:kern w:val="0"/>
          <w:sz w:val="16"/>
          <w:szCs w:val="16"/>
          <w:shd w:val="clear" w:color="auto" w:fill="FFFFCC"/>
          <w:lang w:eastAsia="pt-BR"/>
          <w14:ligatures w14:val="none"/>
        </w:rPr>
        <w:t>acordo.</w:t>
      </w:r>
    </w:p>
    <w:p w14:paraId="32AA313B" w14:textId="7AB10822" w:rsidR="00FD14E9" w:rsidRPr="00FD14E9" w:rsidRDefault="00FD14E9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D14E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1.7.</w:t>
      </w:r>
      <w:r w:rsidR="007351D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proofErr w:type="gramEnd"/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seja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considerado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isento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tributos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estaduais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b/>
          <w:bCs/>
          <w:i/>
          <w:iCs/>
          <w:color w:val="FF0000"/>
          <w:kern w:val="0"/>
          <w:sz w:val="24"/>
          <w:szCs w:val="24"/>
          <w:u w:val="single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municipais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relacionados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contratual,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deverá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comprovar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tal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mediante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declaração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Fazenda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respectiva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domicílio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sede,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equivalente,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forma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7351D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14E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lei;</w:t>
      </w:r>
    </w:p>
    <w:p w14:paraId="462F6D1D" w14:textId="1DB3B5C9" w:rsidR="00FD14E9" w:rsidRPr="00FD14E9" w:rsidRDefault="007351DF" w:rsidP="00FD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5270C6A5" w14:textId="77777777" w:rsidR="005100E4" w:rsidRDefault="005100E4"/>
    <w:sectPr w:rsidR="005100E4" w:rsidSect="00106F3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4E9"/>
    <w:rsid w:val="00106F3A"/>
    <w:rsid w:val="005100E4"/>
    <w:rsid w:val="00585D8E"/>
    <w:rsid w:val="0059568E"/>
    <w:rsid w:val="006650D2"/>
    <w:rsid w:val="00693695"/>
    <w:rsid w:val="007351DF"/>
    <w:rsid w:val="007F3DD6"/>
    <w:rsid w:val="008E5BF8"/>
    <w:rsid w:val="00A672F9"/>
    <w:rsid w:val="00AD3ADB"/>
    <w:rsid w:val="00AD7604"/>
    <w:rsid w:val="00FD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ECCF4"/>
  <w15:chartTrackingRefBased/>
  <w15:docId w15:val="{861EA29E-351A-4C5F-A4A9-7005D94A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1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D14E9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FD14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7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0997">
          <w:marLeft w:val="0"/>
          <w:marRight w:val="0"/>
          <w:marTop w:val="0"/>
          <w:marBottom w:val="0"/>
          <w:divBdr>
            <w:top w:val="single" w:sz="8" w:space="1" w:color="1F497D"/>
            <w:left w:val="single" w:sz="8" w:space="4" w:color="1F497D"/>
            <w:bottom w:val="single" w:sz="8" w:space="1" w:color="1F497D"/>
            <w:right w:val="single" w:sz="8" w:space="4" w:color="1F497D"/>
          </w:divBdr>
        </w:div>
        <w:div w:id="639649619">
          <w:marLeft w:val="0"/>
          <w:marRight w:val="0"/>
          <w:marTop w:val="0"/>
          <w:marBottom w:val="0"/>
          <w:divBdr>
            <w:top w:val="single" w:sz="8" w:space="1" w:color="1F497D"/>
            <w:left w:val="single" w:sz="8" w:space="4" w:color="1F497D"/>
            <w:bottom w:val="single" w:sz="8" w:space="1" w:color="1F497D"/>
            <w:right w:val="single" w:sz="8" w:space="4" w:color="1F497D"/>
          </w:divBdr>
        </w:div>
        <w:div w:id="1595285798">
          <w:marLeft w:val="0"/>
          <w:marRight w:val="0"/>
          <w:marTop w:val="0"/>
          <w:marBottom w:val="0"/>
          <w:divBdr>
            <w:top w:val="single" w:sz="8" w:space="1" w:color="1F497D"/>
            <w:left w:val="single" w:sz="8" w:space="4" w:color="1F497D"/>
            <w:bottom w:val="single" w:sz="8" w:space="1" w:color="1F497D"/>
            <w:right w:val="single" w:sz="8" w:space="4" w:color="1F497D"/>
          </w:divBdr>
        </w:div>
        <w:div w:id="898171386">
          <w:marLeft w:val="0"/>
          <w:marRight w:val="0"/>
          <w:marTop w:val="0"/>
          <w:marBottom w:val="0"/>
          <w:divBdr>
            <w:top w:val="single" w:sz="8" w:space="1" w:color="1F497D"/>
            <w:left w:val="single" w:sz="8" w:space="4" w:color="1F497D"/>
            <w:bottom w:val="single" w:sz="8" w:space="1" w:color="1F497D"/>
            <w:right w:val="single" w:sz="8" w:space="4" w:color="1F497D"/>
          </w:divBdr>
        </w:div>
        <w:div w:id="178523088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7002688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211250517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3515676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522161571">
          <w:marLeft w:val="0"/>
          <w:marRight w:val="0"/>
          <w:marTop w:val="0"/>
          <w:marBottom w:val="0"/>
          <w:divBdr>
            <w:top w:val="single" w:sz="8" w:space="1" w:color="1F497D"/>
            <w:left w:val="single" w:sz="8" w:space="4" w:color="1F497D"/>
            <w:bottom w:val="single" w:sz="8" w:space="1" w:color="1F497D"/>
            <w:right w:val="single" w:sz="8" w:space="4" w:color="1F497D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lanalto.gov.br/ccivil_03/_Ato2011-2014/2013/Lei/L12846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nj.jus.br/improbidade_adm/consultar_requerido.php" TargetMode="External"/><Relationship Id="rId5" Type="http://schemas.openxmlformats.org/officeDocument/2006/relationships/hyperlink" Target="http://www.portaldatransparencia.gov.br/ceis" TargetMode="External"/><Relationship Id="rId4" Type="http://schemas.openxmlformats.org/officeDocument/2006/relationships/hyperlink" Target="http://www.planalto.gov.br/ccivil_03/LEIS/L6404consol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5663</Words>
  <Characters>30583</Characters>
  <Application>Microsoft Office Word</Application>
  <DocSecurity>0</DocSecurity>
  <Lines>254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Departamento de Policia Federal</Company>
  <LinksUpToDate>false</LinksUpToDate>
  <CharactersWithSpaces>36174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8</cp:revision>
  <dcterms:created xsi:type="dcterms:W3CDTF">2024-02-05T18:23:00Z</dcterms:created>
  <dcterms:modified xsi:type="dcterms:W3CDTF">2024-02-08T12:59:00Z</dcterms:modified>
</cp:coreProperties>
</file>